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8B" w:rsidRPr="00A95D8C" w:rsidRDefault="007E6D8B" w:rsidP="007E6D8B">
      <w:pPr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– 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подразделяются на универсальные и комбинированные. Универсальный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-триггеры имеет два информационных входа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. По входу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pt" o:ole="">
            <v:imagedata r:id="rId5" o:title=""/>
          </v:shape>
          <o:OLEObject Type="Embed" ProgID="Equation.3" ShapeID="_x0000_i1025" DrawAspect="Content" ObjectID="_1661972622" r:id="rId6"/>
        </w:object>
      </w:r>
      <w:r w:rsidRPr="00A95D8C">
        <w:rPr>
          <w:sz w:val="28"/>
          <w:szCs w:val="28"/>
        </w:rPr>
        <w:t xml:space="preserve">=1, </w:t>
      </w:r>
      <w:r w:rsidRPr="00A95D8C">
        <w:rPr>
          <w:position w:val="-12"/>
          <w:sz w:val="28"/>
          <w:szCs w:val="28"/>
        </w:rPr>
        <w:object w:dxaOrig="279" w:dyaOrig="420">
          <v:shape id="_x0000_i1026" type="#_x0000_t75" style="width:14.25pt;height:21pt" o:ole="">
            <v:imagedata r:id="rId7" o:title=""/>
          </v:shape>
          <o:OLEObject Type="Embed" ProgID="Equation.3" ShapeID="_x0000_i1026" DrawAspect="Content" ObjectID="_1661972623" r:id="rId8"/>
        </w:object>
      </w:r>
      <w:r w:rsidRPr="00A95D8C">
        <w:rPr>
          <w:sz w:val="28"/>
          <w:szCs w:val="28"/>
        </w:rPr>
        <w:t xml:space="preserve">=0, по входу К- в состояние </w:t>
      </w:r>
      <w:r w:rsidRPr="00A95D8C">
        <w:rPr>
          <w:position w:val="-12"/>
          <w:sz w:val="28"/>
          <w:szCs w:val="28"/>
        </w:rPr>
        <w:object w:dxaOrig="279" w:dyaOrig="360">
          <v:shape id="_x0000_i1027" type="#_x0000_t75" style="width:14.25pt;height:18pt" o:ole="">
            <v:imagedata r:id="rId5" o:title=""/>
          </v:shape>
          <o:OLEObject Type="Embed" ProgID="Equation.3" ShapeID="_x0000_i1027" DrawAspect="Content" ObjectID="_1661972624" r:id="rId9"/>
        </w:object>
      </w:r>
      <w:r w:rsidRPr="00A95D8C">
        <w:rPr>
          <w:sz w:val="28"/>
          <w:szCs w:val="28"/>
        </w:rPr>
        <w:t xml:space="preserve">=0, </w:t>
      </w:r>
      <w:r w:rsidRPr="00A95D8C">
        <w:rPr>
          <w:position w:val="-12"/>
          <w:sz w:val="28"/>
          <w:szCs w:val="28"/>
        </w:rPr>
        <w:object w:dxaOrig="279" w:dyaOrig="420">
          <v:shape id="_x0000_i1028" type="#_x0000_t75" style="width:14.25pt;height:21pt" o:ole="">
            <v:imagedata r:id="rId7" o:title=""/>
          </v:shape>
          <o:OLEObject Type="Embed" ProgID="Equation.3" ShapeID="_x0000_i1028" DrawAspect="Content" ObjectID="_1661972625" r:id="rId10"/>
        </w:object>
      </w:r>
      <w:r w:rsidRPr="00A95D8C">
        <w:rPr>
          <w:sz w:val="28"/>
          <w:szCs w:val="28"/>
        </w:rPr>
        <w:t>=1.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 триггера прежде всего тем, что в нем устранена неопределенность, которая возникает в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-триггере при определенной комбинации входных сигналов.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Универсальность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состоит в том, что он может выполнять функции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-, </w:t>
      </w:r>
      <w:r w:rsidRPr="00A95D8C">
        <w:rPr>
          <w:sz w:val="28"/>
          <w:szCs w:val="28"/>
          <w:lang w:val="en-US"/>
        </w:rPr>
        <w:t>T</w:t>
      </w:r>
      <w:r w:rsidRPr="00A95D8C">
        <w:rPr>
          <w:sz w:val="28"/>
          <w:szCs w:val="28"/>
        </w:rPr>
        <w:t xml:space="preserve">-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-триггеров.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Комбинированный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отличается от универсального наличием асинхронных </w:t>
      </w:r>
      <w:proofErr w:type="gramStart"/>
      <w:r w:rsidRPr="00A95D8C">
        <w:rPr>
          <w:sz w:val="28"/>
          <w:szCs w:val="28"/>
        </w:rPr>
        <w:t xml:space="preserve">входов  </w:t>
      </w:r>
      <w:r w:rsidRPr="00A95D8C">
        <w:rPr>
          <w:sz w:val="28"/>
          <w:szCs w:val="28"/>
          <w:lang w:val="en-US"/>
        </w:rPr>
        <w:t>S</w:t>
      </w:r>
      <w:proofErr w:type="gramEnd"/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R</w:t>
      </w:r>
      <w:r w:rsidRPr="00A95D8C">
        <w:rPr>
          <w:sz w:val="28"/>
          <w:szCs w:val="28"/>
        </w:rPr>
        <w:t xml:space="preserve"> для предварительной установки триггера в определенное состояние (логической 1 или 1).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Простейший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 можно получить из 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-триггера, если ввести дополнительные обратные связи с выходов триггера на входы, которые позволяют устранить неопределенность в таблице состояний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>5.1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200400" cy="2619375"/>
            <wp:effectExtent l="0" t="0" r="0" b="9525"/>
            <wp:docPr id="5" name="Рисунок 5" descr="JK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Kрис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noProof/>
          <w:sz w:val="28"/>
          <w:szCs w:val="28"/>
        </w:rPr>
        <w:drawing>
          <wp:inline distT="0" distB="0" distL="0" distR="0">
            <wp:extent cx="2190750" cy="2400300"/>
            <wp:effectExtent l="0" t="0" r="0" b="0"/>
            <wp:docPr id="4" name="Рисунок 4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</w:t>
      </w:r>
      <w:proofErr w:type="gramStart"/>
      <w:r w:rsidRPr="00A95D8C">
        <w:rPr>
          <w:sz w:val="28"/>
          <w:szCs w:val="28"/>
        </w:rPr>
        <w:t xml:space="preserve">а)   </w:t>
      </w:r>
      <w:proofErr w:type="gramEnd"/>
      <w:r w:rsidRPr="00A95D8C">
        <w:rPr>
          <w:sz w:val="28"/>
          <w:szCs w:val="28"/>
        </w:rPr>
        <w:t xml:space="preserve">                                                       б)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4238625" cy="1400175"/>
            <wp:effectExtent l="0" t="0" r="9525" b="9525"/>
            <wp:docPr id="3" name="Рисунок 3" descr="обозн%20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озн%20J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</w:t>
      </w:r>
      <w:proofErr w:type="gramStart"/>
      <w:r w:rsidRPr="00A95D8C">
        <w:rPr>
          <w:sz w:val="28"/>
          <w:szCs w:val="28"/>
        </w:rPr>
        <w:t xml:space="preserve">в)   </w:t>
      </w:r>
      <w:proofErr w:type="gramEnd"/>
      <w:r w:rsidRPr="00A95D8C">
        <w:rPr>
          <w:sz w:val="28"/>
          <w:szCs w:val="28"/>
        </w:rPr>
        <w:t xml:space="preserve">                                                        г)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5.1,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 xml:space="preserve">- Преобразование синхронного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 xml:space="preserve">-триггера в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>-триггер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,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объединить, то получим Т-триггер, который переключается каждым входным импульсом (</w:t>
      </w:r>
      <w:r w:rsidRPr="00A95D8C">
        <w:rPr>
          <w:i/>
          <w:sz w:val="28"/>
          <w:szCs w:val="28"/>
        </w:rPr>
        <w:t>рис.</w:t>
      </w:r>
      <w:r w:rsidRPr="00A95D8C">
        <w:rPr>
          <w:sz w:val="28"/>
          <w:szCs w:val="28"/>
        </w:rPr>
        <w:t xml:space="preserve"> 5.1,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 рис. 5.1, </w:t>
      </w:r>
      <w:r w:rsidRPr="00A95D8C">
        <w:rPr>
          <w:i/>
          <w:sz w:val="28"/>
          <w:szCs w:val="28"/>
        </w:rPr>
        <w:t>в</w:t>
      </w:r>
      <w:r w:rsidRPr="00A95D8C">
        <w:rPr>
          <w:sz w:val="28"/>
          <w:szCs w:val="28"/>
        </w:rPr>
        <w:t xml:space="preserve"> приведено условное обозначение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и таблица состояний. При входных сигналах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>=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=0 состояние триггера не изменяется, так как напряжение низкого уровня на одном входе элемента </w:t>
      </w:r>
      <w:proofErr w:type="gramStart"/>
      <w:r w:rsidRPr="00A95D8C">
        <w:rPr>
          <w:sz w:val="28"/>
          <w:szCs w:val="28"/>
        </w:rPr>
        <w:t>И-НЕ</w:t>
      </w:r>
      <w:proofErr w:type="gramEnd"/>
      <w:r w:rsidRPr="00A95D8C">
        <w:rPr>
          <w:sz w:val="28"/>
          <w:szCs w:val="28"/>
        </w:rPr>
        <w:t xml:space="preserve"> отменяет прохождение сигналов от других его входов и удерживает выходной сигнал на высоком уровне. Если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подать взаимно противоположные уровни, то при подаче перепада напряжения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выходы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устанавливаются в такие же состояния. При подаче на входы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и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одновременно напряжений высокого уровня триггер переключается в состояние, противоположное предыдущему, если на вход синхронизации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 подать перепад напряжения. Управление полным тактовым импульсом, подаваемым на вход </w:t>
      </w:r>
      <w:r w:rsidRPr="00A95D8C">
        <w:rPr>
          <w:sz w:val="28"/>
          <w:szCs w:val="28"/>
          <w:lang w:val="en-US"/>
        </w:rPr>
        <w:t>C</w:t>
      </w:r>
      <w:r w:rsidRPr="00A95D8C">
        <w:rPr>
          <w:sz w:val="28"/>
          <w:szCs w:val="28"/>
        </w:rPr>
        <w:t xml:space="preserve">, применяется для двухступенчатых </w:t>
      </w:r>
      <w:proofErr w:type="gramStart"/>
      <w:r w:rsidRPr="00A95D8C">
        <w:rPr>
          <w:sz w:val="28"/>
          <w:szCs w:val="28"/>
        </w:rPr>
        <w:t>триггеров .</w:t>
      </w:r>
      <w:proofErr w:type="gramEnd"/>
      <w:r w:rsidRPr="00A95D8C">
        <w:rPr>
          <w:sz w:val="28"/>
          <w:szCs w:val="28"/>
        </w:rPr>
        <w:t xml:space="preserve"> Такой триггер тоже имеет обратные связи с выходов на входы, исключающие неопределенное состояние триггера.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Из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-триггера можно получить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-триггер, если вход </w:t>
      </w:r>
      <w:r w:rsidRPr="00A95D8C">
        <w:rPr>
          <w:sz w:val="28"/>
          <w:szCs w:val="28"/>
          <w:lang w:val="en-US"/>
        </w:rPr>
        <w:t>K</w:t>
      </w:r>
      <w:r w:rsidRPr="00A95D8C">
        <w:rPr>
          <w:sz w:val="28"/>
          <w:szCs w:val="28"/>
        </w:rPr>
        <w:t xml:space="preserve"> соединить со входом </w:t>
      </w:r>
      <w:r w:rsidRPr="00A95D8C">
        <w:rPr>
          <w:sz w:val="28"/>
          <w:szCs w:val="28"/>
          <w:lang w:val="en-US"/>
        </w:rPr>
        <w:t>J</w:t>
      </w:r>
      <w:r w:rsidRPr="00A95D8C">
        <w:rPr>
          <w:sz w:val="28"/>
          <w:szCs w:val="28"/>
        </w:rPr>
        <w:t xml:space="preserve"> через дополнительный инвертор (рис. 5.1, </w:t>
      </w:r>
      <w:r w:rsidRPr="00A95D8C">
        <w:rPr>
          <w:i/>
          <w:sz w:val="28"/>
          <w:szCs w:val="28"/>
        </w:rPr>
        <w:t>г</w:t>
      </w:r>
      <w:r w:rsidRPr="00A95D8C">
        <w:rPr>
          <w:sz w:val="28"/>
          <w:szCs w:val="28"/>
        </w:rPr>
        <w:t xml:space="preserve">). </w:t>
      </w:r>
    </w:p>
    <w:tbl>
      <w:tblPr>
        <w:tblStyle w:val="a3"/>
        <w:tblW w:w="0" w:type="auto"/>
        <w:tblInd w:w="1260" w:type="dxa"/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1980"/>
        <w:gridCol w:w="2160"/>
      </w:tblGrid>
      <w:tr w:rsidR="007E6D8B" w:rsidRPr="00A95D8C" w:rsidTr="0097468D">
        <w:tc>
          <w:tcPr>
            <w:tcW w:w="3168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Установлено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Записано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J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K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60" w:dyaOrig="480">
                <v:shape id="_x0000_i1029" type="#_x0000_t75" style="width:33pt;height:24pt" o:ole="">
                  <v:imagedata r:id="rId14" o:title=""/>
                </v:shape>
                <o:OLEObject Type="Embed" ProgID="Equation.3" ShapeID="_x0000_i1029" DrawAspect="Content" ObjectID="_1661972626" r:id="rId15"/>
              </w:objec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60" w:dyaOrig="520">
                <v:shape id="_x0000_i1030" type="#_x0000_t75" style="width:33pt;height:26.25pt" o:ole="">
                  <v:imagedata r:id="rId16" o:title=""/>
                </v:shape>
                <o:OLEObject Type="Embed" ProgID="Equation.3" ShapeID="_x0000_i1030" DrawAspect="Content" ObjectID="_1661972627" r:id="rId17"/>
              </w:objec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lastRenderedPageBreak/>
              <w:t>0</w:t>
            </w:r>
          </w:p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Без изменений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7E6D8B" w:rsidRPr="00A95D8C" w:rsidTr="0097468D">
        <w:tc>
          <w:tcPr>
            <w:tcW w:w="1548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7E6D8B" w:rsidRPr="00A95D8C" w:rsidTr="0097468D">
        <w:tc>
          <w:tcPr>
            <w:tcW w:w="1548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  <w:vMerge w:val="restart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4140" w:type="dxa"/>
            <w:gridSpan w:val="2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Переброс</w:t>
            </w:r>
          </w:p>
        </w:tc>
      </w:tr>
      <w:tr w:rsidR="007E6D8B" w:rsidRPr="00A95D8C" w:rsidTr="0097468D">
        <w:tc>
          <w:tcPr>
            <w:tcW w:w="1548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40" w:dyaOrig="520">
                <v:shape id="_x0000_i1031" type="#_x0000_t75" style="width:21.75pt;height:26.25pt" o:ole="">
                  <v:imagedata r:id="rId18" o:title=""/>
                </v:shape>
                <o:OLEObject Type="Embed" ProgID="Equation.3" ShapeID="_x0000_i1031" DrawAspect="Content" ObjectID="_1661972628" r:id="rId19"/>
              </w:object>
            </w:r>
          </w:p>
        </w:tc>
        <w:tc>
          <w:tcPr>
            <w:tcW w:w="2160" w:type="dxa"/>
          </w:tcPr>
          <w:p w:rsidR="007E6D8B" w:rsidRPr="00A95D8C" w:rsidRDefault="007E6D8B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80">
                <v:shape id="_x0000_i1032" type="#_x0000_t75" style="width:20.25pt;height:24pt" o:ole="">
                  <v:imagedata r:id="rId20" o:title=""/>
                </v:shape>
                <o:OLEObject Type="Embed" ProgID="Equation.3" ShapeID="_x0000_i1032" DrawAspect="Content" ObjectID="_1661972629" r:id="rId21"/>
              </w:object>
            </w:r>
          </w:p>
        </w:tc>
      </w:tr>
    </w:tbl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универсального </w:t>
      </w:r>
      <w:r w:rsidRPr="00A95D8C">
        <w:rPr>
          <w:b/>
          <w:sz w:val="28"/>
          <w:szCs w:val="28"/>
          <w:lang w:val="en-US"/>
        </w:rPr>
        <w:t>JK</w:t>
      </w:r>
      <w:r w:rsidRPr="00A95D8C">
        <w:rPr>
          <w:b/>
          <w:sz w:val="28"/>
          <w:szCs w:val="28"/>
        </w:rPr>
        <w:t xml:space="preserve"> 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синхронного </w:t>
      </w:r>
      <w:r w:rsidRPr="00A95D8C">
        <w:rPr>
          <w:b/>
          <w:position w:val="-6"/>
          <w:sz w:val="28"/>
          <w:szCs w:val="28"/>
        </w:rPr>
        <w:object w:dxaOrig="420" w:dyaOrig="300">
          <v:shape id="_x0000_i1033" type="#_x0000_t75" style="width:21pt;height:15pt" o:ole="">
            <v:imagedata r:id="rId22" o:title=""/>
          </v:shape>
          <o:OLEObject Type="Embed" ProgID="Equation.3" ShapeID="_x0000_i1033" DrawAspect="Content" ObjectID="_1661972630" r:id="rId23"/>
        </w:object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>триггера, только асинхронный триггер нужно заменить на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sz w:val="28"/>
          <w:szCs w:val="28"/>
          <w:lang w:val="en-US"/>
        </w:rPr>
        <w:t>JK</w:t>
      </w:r>
      <w:r w:rsidRPr="00A95D8C">
        <w:rPr>
          <w:sz w:val="28"/>
          <w:szCs w:val="28"/>
        </w:rPr>
        <w:t xml:space="preserve"> – триггера (рис 5.2). 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67652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5.2 – Принципиальная схема для исследования</w:t>
      </w:r>
    </w:p>
    <w:p w:rsidR="007E6D8B" w:rsidRPr="00A95D8C" w:rsidRDefault="007E6D8B" w:rsidP="007E6D8B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proofErr w:type="gramStart"/>
      <w:r w:rsidRPr="00A95D8C">
        <w:rPr>
          <w:sz w:val="28"/>
          <w:szCs w:val="28"/>
        </w:rPr>
        <w:t xml:space="preserve">универсального  </w:t>
      </w:r>
      <w:r w:rsidRPr="00A95D8C">
        <w:rPr>
          <w:sz w:val="28"/>
          <w:szCs w:val="28"/>
          <w:lang w:val="en-US"/>
        </w:rPr>
        <w:t>JK</w:t>
      </w:r>
      <w:proofErr w:type="gramEnd"/>
      <w:r w:rsidRPr="00A95D8C">
        <w:rPr>
          <w:sz w:val="28"/>
          <w:szCs w:val="28"/>
        </w:rPr>
        <w:t>- триггера</w:t>
      </w:r>
    </w:p>
    <w:p w:rsidR="006919DF" w:rsidRDefault="007E6D8B" w:rsidP="007E6D8B">
      <w:r>
        <w:rPr>
          <w:rFonts w:ascii="Arial" w:hAnsi="Arial" w:cs="Arial"/>
          <w:b/>
          <w:sz w:val="28"/>
          <w:szCs w:val="28"/>
        </w:rPr>
        <w:br w:type="page"/>
      </w:r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D2A4B"/>
    <w:multiLevelType w:val="hybridMultilevel"/>
    <w:tmpl w:val="9AECBDE0"/>
    <w:lvl w:ilvl="0" w:tplc="B22A84F8">
      <w:start w:val="5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D8B"/>
    <w:rsid w:val="00054688"/>
    <w:rsid w:val="006919DF"/>
    <w:rsid w:val="007E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BE63D-C234-4055-A2AC-A8DA4FD3C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jpeg"/><Relationship Id="rId24" Type="http://schemas.openxmlformats.org/officeDocument/2006/relationships/image" Target="media/image11.wmf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2020-09-18T16:14:00Z</dcterms:created>
  <dcterms:modified xsi:type="dcterms:W3CDTF">2020-09-18T16:14:00Z</dcterms:modified>
</cp:coreProperties>
</file>